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57823" w14:textId="77777777" w:rsidR="002D2A8B" w:rsidRDefault="002D2A8B">
      <w:pPr>
        <w:spacing w:after="0" w:line="240" w:lineRule="auto"/>
        <w:jc w:val="center"/>
        <w:rPr>
          <w:b/>
          <w:bCs/>
          <w:color w:val="000000"/>
          <w:sz w:val="20"/>
          <w:szCs w:val="20"/>
        </w:rPr>
      </w:pPr>
      <w:r w:rsidRPr="002D2A8B">
        <w:rPr>
          <w:b/>
          <w:bCs/>
          <w:color w:val="000000"/>
          <w:sz w:val="20"/>
          <w:szCs w:val="20"/>
        </w:rPr>
        <w:t>Advancing Diagnostic Precision and Treatment Selection in MG</w:t>
      </w:r>
    </w:p>
    <w:p w14:paraId="00000002" w14:textId="41AAB16A" w:rsidR="00396495" w:rsidRDefault="002D2A8B">
      <w:pPr>
        <w:spacing w:after="0" w:line="240" w:lineRule="auto"/>
        <w:jc w:val="center"/>
        <w:rPr>
          <w:b/>
          <w:bCs/>
          <w:color w:val="000000"/>
          <w:sz w:val="20"/>
          <w:szCs w:val="20"/>
        </w:rPr>
      </w:pPr>
      <w:r>
        <w:rPr>
          <w:b/>
          <w:bCs/>
          <w:color w:val="000000"/>
          <w:sz w:val="20"/>
          <w:szCs w:val="20"/>
        </w:rPr>
        <w:t>Live Webinar</w:t>
      </w:r>
    </w:p>
    <w:p w14:paraId="00000003" w14:textId="662B31F5" w:rsidR="00396495" w:rsidRDefault="002D2A8B">
      <w:pPr>
        <w:spacing w:after="0" w:line="240" w:lineRule="auto"/>
        <w:jc w:val="center"/>
        <w:rPr>
          <w:color w:val="000000"/>
          <w:sz w:val="20"/>
          <w:szCs w:val="20"/>
        </w:rPr>
      </w:pPr>
      <w:r>
        <w:rPr>
          <w:b/>
          <w:bCs/>
          <w:color w:val="000000"/>
          <w:sz w:val="20"/>
          <w:szCs w:val="20"/>
        </w:rPr>
        <w:t>June 8, 2026</w:t>
      </w:r>
    </w:p>
    <w:p w14:paraId="00000006" w14:textId="77777777" w:rsidR="00396495" w:rsidRDefault="00114CB6">
      <w:pPr>
        <w:spacing w:after="0" w:line="240" w:lineRule="auto"/>
        <w:rPr>
          <w:b/>
          <w:bCs/>
          <w:color w:val="000000"/>
          <w:sz w:val="20"/>
          <w:szCs w:val="20"/>
        </w:rPr>
      </w:pPr>
      <w:r>
        <w:rPr>
          <w:noProof/>
        </w:rPr>
        <w:pict w14:anchorId="1A0BBD58">
          <v:rect id="_x0000_i1025" alt="" style="width:468pt;height:.05pt;mso-width-percent:0;mso-height-percent:0;mso-width-percent:0;mso-height-percent:0" o:hralign="center" o:hrstd="t" o:hr="t" fillcolor="#a0a0a0" stroked="f"/>
        </w:pict>
      </w:r>
    </w:p>
    <w:p w14:paraId="00000007" w14:textId="77777777" w:rsidR="00396495" w:rsidRDefault="00000000">
      <w:pPr>
        <w:spacing w:after="0" w:line="240" w:lineRule="auto"/>
        <w:rPr>
          <w:b/>
          <w:bCs/>
          <w:color w:val="000000"/>
          <w:sz w:val="20"/>
          <w:szCs w:val="20"/>
        </w:rPr>
      </w:pPr>
      <w:r>
        <w:rPr>
          <w:b/>
          <w:bCs/>
          <w:color w:val="000000"/>
          <w:sz w:val="20"/>
          <w:szCs w:val="20"/>
        </w:rPr>
        <w:t>Activity Overview</w:t>
      </w:r>
    </w:p>
    <w:p w14:paraId="27981BF9" w14:textId="77777777" w:rsidR="001A5B2A" w:rsidRPr="001A5B2A" w:rsidRDefault="001A5B2A" w:rsidP="001A5B2A">
      <w:pPr>
        <w:spacing w:line="240" w:lineRule="auto"/>
        <w:rPr>
          <w:sz w:val="20"/>
          <w:szCs w:val="20"/>
        </w:rPr>
      </w:pPr>
      <w:r w:rsidRPr="001A5B2A">
        <w:rPr>
          <w:sz w:val="20"/>
          <w:szCs w:val="20"/>
        </w:rPr>
        <w:t>The MDA Grand Rounds: Advancing Diagnostic Precision and Treatment Selection in MG is a 90-minute live webinar in which expert faculty share up-to-date knowledge, clinical experience, and institutional practices related to MG diagnosis and management. The session highlights best practices for distinguishing MG from mimicking conditions, interpreting antibody and electrophysiologic findings, and selecting appropriate therapies across MG phenotypes.</w:t>
      </w:r>
    </w:p>
    <w:p w14:paraId="1175F22E" w14:textId="77777777" w:rsidR="001A5B2A" w:rsidRPr="001A5B2A" w:rsidRDefault="001A5B2A" w:rsidP="001A5B2A">
      <w:pPr>
        <w:spacing w:line="240" w:lineRule="auto"/>
        <w:rPr>
          <w:sz w:val="20"/>
          <w:szCs w:val="20"/>
        </w:rPr>
      </w:pPr>
      <w:r w:rsidRPr="001A5B2A">
        <w:rPr>
          <w:sz w:val="20"/>
          <w:szCs w:val="20"/>
        </w:rPr>
        <w:t>The 90-minute live webinar will feature a multidisciplinary panel (eg, neurologist, pharmacist, ophthalmologist, other MG experts) who will review current understanding of MG subtypes (AChR+, MuSK+, LRP4+, seronegative) and their implications for diagnostic evaluation and therapy selection.</w:t>
      </w:r>
    </w:p>
    <w:p w14:paraId="74D89690" w14:textId="77777777" w:rsidR="001A5B2A" w:rsidRPr="001A5B2A" w:rsidRDefault="001A5B2A" w:rsidP="001A5B2A">
      <w:pPr>
        <w:spacing w:line="240" w:lineRule="auto"/>
        <w:rPr>
          <w:sz w:val="20"/>
          <w:szCs w:val="20"/>
        </w:rPr>
      </w:pPr>
      <w:r w:rsidRPr="001A5B2A">
        <w:rPr>
          <w:sz w:val="20"/>
          <w:szCs w:val="20"/>
        </w:rPr>
        <w:t>Panelists will discuss multidisciplinary strategies for managing fluctuating weakness, bulbar and respiratory involvement, comorbid autoimmune diseases, and quality-of-life considerations. Institutional practices will be compared to illustrate variations in care models, and a moderated Q&amp;A will enable participants to engage directly with experts. The session will be recorded and made available for on-demand viewing.</w:t>
      </w:r>
    </w:p>
    <w:p w14:paraId="00000009" w14:textId="77777777" w:rsidR="00396495" w:rsidRDefault="00396495">
      <w:pPr>
        <w:spacing w:after="0" w:line="240" w:lineRule="auto"/>
        <w:rPr>
          <w:b/>
          <w:bCs/>
          <w:color w:val="000000"/>
          <w:sz w:val="20"/>
          <w:szCs w:val="20"/>
        </w:rPr>
      </w:pPr>
    </w:p>
    <w:p w14:paraId="0000000A" w14:textId="77777777" w:rsidR="00396495" w:rsidRDefault="00000000">
      <w:pPr>
        <w:spacing w:after="0" w:line="240" w:lineRule="auto"/>
        <w:rPr>
          <w:color w:val="000000"/>
          <w:sz w:val="20"/>
          <w:szCs w:val="20"/>
        </w:rPr>
      </w:pPr>
      <w:r>
        <w:rPr>
          <w:b/>
          <w:bCs/>
          <w:color w:val="000000"/>
          <w:sz w:val="20"/>
          <w:szCs w:val="20"/>
        </w:rPr>
        <w:t>Target Audience</w:t>
      </w:r>
    </w:p>
    <w:p w14:paraId="0000000C" w14:textId="7F760FE1" w:rsidR="00396495" w:rsidRPr="001A5B2A" w:rsidRDefault="001A5B2A" w:rsidP="001A5B2A">
      <w:pPr>
        <w:spacing w:line="240" w:lineRule="auto"/>
        <w:rPr>
          <w:sz w:val="20"/>
          <w:szCs w:val="20"/>
        </w:rPr>
      </w:pPr>
      <w:r w:rsidRPr="001A5B2A">
        <w:rPr>
          <w:sz w:val="20"/>
          <w:szCs w:val="20"/>
        </w:rPr>
        <w:t>This activity is designed for an audience of neurologists (including fellows and residents), and advanced practice providers, pharmacists, social workers who participate in MG diagnosis and management.</w:t>
      </w:r>
    </w:p>
    <w:p w14:paraId="28184E78" w14:textId="77777777" w:rsidR="001A5B2A" w:rsidRDefault="001A5B2A">
      <w:pPr>
        <w:spacing w:after="0" w:line="240" w:lineRule="auto"/>
        <w:rPr>
          <w:color w:val="000000"/>
          <w:sz w:val="20"/>
          <w:szCs w:val="20"/>
        </w:rPr>
      </w:pPr>
    </w:p>
    <w:p w14:paraId="0000000D" w14:textId="77777777" w:rsidR="00396495" w:rsidRDefault="00000000">
      <w:pPr>
        <w:spacing w:after="0" w:line="240" w:lineRule="auto"/>
        <w:rPr>
          <w:color w:val="000000"/>
          <w:sz w:val="20"/>
          <w:szCs w:val="20"/>
        </w:rPr>
      </w:pPr>
      <w:r>
        <w:rPr>
          <w:b/>
          <w:bCs/>
          <w:color w:val="000000"/>
          <w:sz w:val="20"/>
          <w:szCs w:val="20"/>
        </w:rPr>
        <w:t>Learning Objectives</w:t>
      </w:r>
    </w:p>
    <w:p w14:paraId="0000000E" w14:textId="77777777" w:rsidR="00396495" w:rsidRDefault="00000000">
      <w:pPr>
        <w:spacing w:after="0" w:line="240" w:lineRule="auto"/>
        <w:rPr>
          <w:color w:val="000000"/>
          <w:sz w:val="20"/>
          <w:szCs w:val="20"/>
        </w:rPr>
      </w:pPr>
      <w:r>
        <w:rPr>
          <w:color w:val="000000"/>
          <w:sz w:val="20"/>
          <w:szCs w:val="20"/>
        </w:rPr>
        <w:t>Upon completion of the educational activity, participants should be able to:</w:t>
      </w:r>
    </w:p>
    <w:p w14:paraId="0000000F" w14:textId="77777777" w:rsidR="00396495" w:rsidRDefault="00396495">
      <w:pPr>
        <w:spacing w:after="0" w:line="240" w:lineRule="auto"/>
        <w:rPr>
          <w:color w:val="000000"/>
          <w:sz w:val="20"/>
          <w:szCs w:val="20"/>
        </w:rPr>
      </w:pPr>
    </w:p>
    <w:p w14:paraId="6B752153" w14:textId="77777777" w:rsidR="001A5B2A" w:rsidRPr="001A5B2A" w:rsidRDefault="001A5B2A" w:rsidP="001A5B2A">
      <w:pPr>
        <w:pStyle w:val="ListParagraph"/>
        <w:numPr>
          <w:ilvl w:val="0"/>
          <w:numId w:val="3"/>
        </w:numPr>
        <w:spacing w:line="240" w:lineRule="auto"/>
        <w:rPr>
          <w:sz w:val="20"/>
          <w:szCs w:val="20"/>
        </w:rPr>
      </w:pPr>
      <w:r w:rsidRPr="001A5B2A">
        <w:rPr>
          <w:sz w:val="20"/>
          <w:szCs w:val="20"/>
        </w:rPr>
        <w:t>Identify appropriate diagnostic and electrophysiologic testing strategies to distinguish MG from conditions with similar presentations.</w:t>
      </w:r>
    </w:p>
    <w:p w14:paraId="078C633E" w14:textId="77777777" w:rsidR="001A5B2A" w:rsidRPr="001A5B2A" w:rsidRDefault="001A5B2A" w:rsidP="001A5B2A">
      <w:pPr>
        <w:pStyle w:val="ListParagraph"/>
        <w:numPr>
          <w:ilvl w:val="0"/>
          <w:numId w:val="3"/>
        </w:numPr>
        <w:spacing w:line="240" w:lineRule="auto"/>
        <w:rPr>
          <w:sz w:val="20"/>
          <w:szCs w:val="20"/>
        </w:rPr>
      </w:pPr>
      <w:r w:rsidRPr="001A5B2A">
        <w:rPr>
          <w:sz w:val="20"/>
          <w:szCs w:val="20"/>
        </w:rPr>
        <w:t>Characterize MG patient profiles based on antibody status, clinical features, and test findings.</w:t>
      </w:r>
    </w:p>
    <w:p w14:paraId="2FC7FF31" w14:textId="77777777" w:rsidR="001A5B2A" w:rsidRPr="001A5B2A" w:rsidRDefault="001A5B2A" w:rsidP="001A5B2A">
      <w:pPr>
        <w:pStyle w:val="ListParagraph"/>
        <w:numPr>
          <w:ilvl w:val="0"/>
          <w:numId w:val="3"/>
        </w:numPr>
        <w:spacing w:line="240" w:lineRule="auto"/>
        <w:rPr>
          <w:sz w:val="20"/>
          <w:szCs w:val="20"/>
        </w:rPr>
      </w:pPr>
      <w:r w:rsidRPr="001A5B2A">
        <w:rPr>
          <w:sz w:val="20"/>
          <w:szCs w:val="20"/>
        </w:rPr>
        <w:t>Describe available and emerging MG therapies and their MOAs to support treatment selection.</w:t>
      </w:r>
    </w:p>
    <w:p w14:paraId="00000013" w14:textId="77777777" w:rsidR="00396495" w:rsidRDefault="00396495" w:rsidP="001A5B2A">
      <w:pPr>
        <w:pBdr>
          <w:top w:val="nil"/>
          <w:left w:val="nil"/>
          <w:bottom w:val="nil"/>
          <w:right w:val="nil"/>
          <w:between w:val="nil"/>
        </w:pBdr>
        <w:tabs>
          <w:tab w:val="left" w:pos="1350"/>
          <w:tab w:val="left" w:pos="1530"/>
        </w:tabs>
        <w:spacing w:after="22" w:line="240" w:lineRule="auto"/>
        <w:rPr>
          <w:color w:val="000000"/>
          <w:sz w:val="20"/>
          <w:szCs w:val="20"/>
        </w:rPr>
      </w:pPr>
    </w:p>
    <w:p w14:paraId="00000014" w14:textId="5F929377" w:rsidR="00396495" w:rsidRDefault="00000000">
      <w:pPr>
        <w:spacing w:after="0" w:line="240" w:lineRule="auto"/>
        <w:rPr>
          <w:b/>
          <w:bCs/>
          <w:color w:val="000000"/>
          <w:sz w:val="20"/>
          <w:szCs w:val="20"/>
        </w:rPr>
      </w:pPr>
      <w:r>
        <w:rPr>
          <w:b/>
          <w:bCs/>
          <w:color w:val="000000"/>
          <w:sz w:val="20"/>
          <w:szCs w:val="20"/>
        </w:rPr>
        <w:t xml:space="preserve">Criteria for Success </w:t>
      </w:r>
    </w:p>
    <w:p w14:paraId="00000015" w14:textId="77777777" w:rsidR="00396495" w:rsidRDefault="00000000">
      <w:pPr>
        <w:spacing w:after="0" w:line="240" w:lineRule="auto"/>
        <w:rPr>
          <w:color w:val="000000"/>
          <w:sz w:val="20"/>
          <w:szCs w:val="20"/>
        </w:rPr>
      </w:pPr>
      <w:r w:rsidRPr="001A5B2A">
        <w:rPr>
          <w:color w:val="000000"/>
          <w:sz w:val="20"/>
          <w:szCs w:val="20"/>
        </w:rPr>
        <w:t>There is no fee</w:t>
      </w:r>
      <w:r>
        <w:rPr>
          <w:color w:val="000000"/>
          <w:sz w:val="20"/>
          <w:szCs w:val="20"/>
        </w:rPr>
        <w:t xml:space="preserve"> to participate in this activity. A certificate of completion will be awarded based on the participant's attendance</w:t>
      </w:r>
      <w:r>
        <w:rPr>
          <w:sz w:val="20"/>
          <w:szCs w:val="20"/>
        </w:rPr>
        <w:t xml:space="preserve"> and </w:t>
      </w:r>
      <w:r>
        <w:rPr>
          <w:color w:val="000000"/>
          <w:sz w:val="20"/>
          <w:szCs w:val="20"/>
        </w:rPr>
        <w:t xml:space="preserve">completion </w:t>
      </w:r>
      <w:r>
        <w:rPr>
          <w:sz w:val="20"/>
          <w:szCs w:val="20"/>
        </w:rPr>
        <w:t xml:space="preserve">of the </w:t>
      </w:r>
      <w:r>
        <w:rPr>
          <w:color w:val="000000"/>
          <w:sz w:val="20"/>
          <w:szCs w:val="20"/>
        </w:rPr>
        <w:t>online evaluation/claim credit form</w:t>
      </w:r>
      <w:r>
        <w:rPr>
          <w:sz w:val="20"/>
          <w:szCs w:val="20"/>
        </w:rPr>
        <w:t>.</w:t>
      </w:r>
    </w:p>
    <w:p w14:paraId="00000016" w14:textId="77777777" w:rsidR="00396495" w:rsidRDefault="00396495">
      <w:pPr>
        <w:spacing w:after="0" w:line="240" w:lineRule="auto"/>
        <w:rPr>
          <w:b/>
          <w:bCs/>
          <w:color w:val="000000"/>
          <w:sz w:val="20"/>
          <w:szCs w:val="20"/>
        </w:rPr>
      </w:pPr>
    </w:p>
    <w:p w14:paraId="00000018" w14:textId="221BF5A0" w:rsidR="00396495" w:rsidRDefault="001A5B2A">
      <w:pPr>
        <w:spacing w:after="0" w:line="240" w:lineRule="auto"/>
        <w:jc w:val="center"/>
        <w:rPr>
          <w:b/>
          <w:bCs/>
          <w:color w:val="000000"/>
          <w:sz w:val="20"/>
          <w:szCs w:val="20"/>
        </w:rPr>
      </w:pPr>
      <w:hyperlink r:id="rId6" w:history="1">
        <w:r w:rsidRPr="001D0D3F">
          <w:rPr>
            <w:rStyle w:val="Hyperlink"/>
            <w:b/>
            <w:bCs/>
            <w:sz w:val="20"/>
            <w:szCs w:val="20"/>
          </w:rPr>
          <w:t>https://akhcme.com/content/advancing-diagnostic-precision-and-treatment-selection-mg</w:t>
        </w:r>
      </w:hyperlink>
    </w:p>
    <w:p w14:paraId="3C9A1966" w14:textId="77777777" w:rsidR="001A5B2A" w:rsidRDefault="001A5B2A">
      <w:pPr>
        <w:spacing w:after="0" w:line="240" w:lineRule="auto"/>
        <w:jc w:val="center"/>
        <w:rPr>
          <w:b/>
          <w:bCs/>
          <w:color w:val="000000"/>
          <w:sz w:val="20"/>
          <w:szCs w:val="20"/>
        </w:rPr>
      </w:pPr>
    </w:p>
    <w:p w14:paraId="4BE1C8C3" w14:textId="67C9275E" w:rsidR="00FF0B7C" w:rsidRPr="00FF0B7C" w:rsidRDefault="00FF0B7C" w:rsidP="00FF0B7C">
      <w:pPr>
        <w:pStyle w:val="ListParagraph"/>
        <w:numPr>
          <w:ilvl w:val="0"/>
          <w:numId w:val="5"/>
        </w:numPr>
        <w:spacing w:line="240" w:lineRule="auto"/>
        <w:rPr>
          <w:sz w:val="20"/>
          <w:szCs w:val="20"/>
        </w:rPr>
      </w:pPr>
      <w:r w:rsidRPr="00FF0B7C">
        <w:rPr>
          <w:sz w:val="20"/>
          <w:szCs w:val="20"/>
        </w:rPr>
        <w:t>Click Start course.</w:t>
      </w:r>
    </w:p>
    <w:p w14:paraId="2FDFB895" w14:textId="77777777" w:rsidR="00FF0B7C" w:rsidRPr="00FF0B7C" w:rsidRDefault="00FF0B7C" w:rsidP="00FF0B7C">
      <w:pPr>
        <w:pStyle w:val="ListParagraph"/>
        <w:numPr>
          <w:ilvl w:val="0"/>
          <w:numId w:val="5"/>
        </w:numPr>
        <w:spacing w:line="240" w:lineRule="auto"/>
        <w:rPr>
          <w:sz w:val="20"/>
          <w:szCs w:val="20"/>
        </w:rPr>
      </w:pPr>
      <w:r w:rsidRPr="00FF0B7C">
        <w:rPr>
          <w:sz w:val="20"/>
          <w:szCs w:val="20"/>
        </w:rPr>
        <w:t>Complete the evaluation and click Submit.</w:t>
      </w:r>
    </w:p>
    <w:p w14:paraId="34B8FA81" w14:textId="77777777" w:rsidR="00FF0B7C" w:rsidRPr="00FF0B7C" w:rsidRDefault="00FF0B7C" w:rsidP="00FF0B7C">
      <w:pPr>
        <w:pStyle w:val="ListParagraph"/>
        <w:numPr>
          <w:ilvl w:val="0"/>
          <w:numId w:val="5"/>
        </w:numPr>
        <w:spacing w:line="240" w:lineRule="auto"/>
        <w:rPr>
          <w:sz w:val="20"/>
          <w:szCs w:val="20"/>
        </w:rPr>
      </w:pPr>
      <w:r w:rsidRPr="00FF0B7C">
        <w:rPr>
          <w:sz w:val="20"/>
          <w:szCs w:val="20"/>
        </w:rPr>
        <w:t>Your certificate will be available immediately for download.</w:t>
      </w:r>
    </w:p>
    <w:p w14:paraId="258FE69B" w14:textId="77777777" w:rsidR="00FF0B7C" w:rsidRDefault="00FF0B7C">
      <w:pPr>
        <w:spacing w:after="0" w:line="240" w:lineRule="auto"/>
        <w:jc w:val="center"/>
        <w:rPr>
          <w:b/>
          <w:bCs/>
          <w:color w:val="000000"/>
          <w:sz w:val="20"/>
          <w:szCs w:val="20"/>
        </w:rPr>
      </w:pPr>
    </w:p>
    <w:p w14:paraId="00000019" w14:textId="4C0C185C" w:rsidR="00396495" w:rsidRDefault="00000000">
      <w:pPr>
        <w:spacing w:after="0" w:line="240" w:lineRule="auto"/>
        <w:jc w:val="center"/>
        <w:rPr>
          <w:b/>
          <w:bCs/>
          <w:color w:val="000000"/>
          <w:sz w:val="20"/>
          <w:szCs w:val="20"/>
        </w:rPr>
      </w:pPr>
      <w:r>
        <w:rPr>
          <w:b/>
          <w:bCs/>
          <w:color w:val="000000"/>
          <w:sz w:val="20"/>
          <w:szCs w:val="20"/>
        </w:rPr>
        <w:t>Please claim your credit by</w:t>
      </w:r>
      <w:r w:rsidR="001A5B2A">
        <w:rPr>
          <w:b/>
          <w:bCs/>
          <w:color w:val="000000"/>
          <w:sz w:val="20"/>
          <w:szCs w:val="20"/>
        </w:rPr>
        <w:t xml:space="preserve"> 7/8/2026</w:t>
      </w:r>
    </w:p>
    <w:p w14:paraId="0000001A" w14:textId="77777777" w:rsidR="00396495" w:rsidRDefault="00396495">
      <w:pPr>
        <w:spacing w:after="0" w:line="240" w:lineRule="auto"/>
        <w:rPr>
          <w:b/>
          <w:bCs/>
          <w:color w:val="000000"/>
          <w:sz w:val="20"/>
          <w:szCs w:val="20"/>
        </w:rPr>
      </w:pPr>
    </w:p>
    <w:p w14:paraId="0000001B" w14:textId="71B09979" w:rsidR="00396495" w:rsidRDefault="00000000">
      <w:pPr>
        <w:spacing w:after="0" w:line="240" w:lineRule="auto"/>
        <w:jc w:val="center"/>
        <w:rPr>
          <w:color w:val="000000"/>
          <w:sz w:val="20"/>
          <w:szCs w:val="20"/>
        </w:rPr>
      </w:pPr>
      <w:r>
        <w:rPr>
          <w:color w:val="000000"/>
          <w:sz w:val="20"/>
          <w:szCs w:val="20"/>
        </w:rPr>
        <w:t xml:space="preserve">If you have questions about this CE activity, please contact AKH Inc at </w:t>
      </w:r>
      <w:r w:rsidR="001A5B2A">
        <w:rPr>
          <w:sz w:val="20"/>
          <w:szCs w:val="20"/>
        </w:rPr>
        <w:t>wendi@akhcme.com.</w:t>
      </w:r>
    </w:p>
    <w:p w14:paraId="0000001C" w14:textId="77777777" w:rsidR="00396495" w:rsidRDefault="00396495">
      <w:pPr>
        <w:spacing w:after="0" w:line="240" w:lineRule="auto"/>
        <w:jc w:val="center"/>
        <w:rPr>
          <w:color w:val="000000"/>
          <w:sz w:val="20"/>
          <w:szCs w:val="20"/>
        </w:rPr>
      </w:pPr>
    </w:p>
    <w:p w14:paraId="0000001F" w14:textId="77777777" w:rsidR="00396495" w:rsidRDefault="00396495">
      <w:pPr>
        <w:spacing w:after="0" w:line="240" w:lineRule="auto"/>
        <w:rPr>
          <w:color w:val="000000"/>
          <w:sz w:val="20"/>
          <w:szCs w:val="20"/>
        </w:rPr>
      </w:pPr>
    </w:p>
    <w:p w14:paraId="00000020" w14:textId="77777777" w:rsidR="00396495" w:rsidRDefault="00396495">
      <w:pPr>
        <w:spacing w:after="0" w:line="240" w:lineRule="auto"/>
        <w:rPr>
          <w:color w:val="000000"/>
          <w:sz w:val="20"/>
          <w:szCs w:val="20"/>
        </w:rPr>
      </w:pPr>
    </w:p>
    <w:p w14:paraId="00000021" w14:textId="77777777" w:rsidR="00396495" w:rsidRDefault="00000000">
      <w:pPr>
        <w:spacing w:after="0" w:line="240" w:lineRule="auto"/>
        <w:rPr>
          <w:b/>
          <w:bCs/>
          <w:sz w:val="20"/>
          <w:szCs w:val="20"/>
          <w:highlight w:val="white"/>
        </w:rPr>
      </w:pPr>
      <w:r>
        <w:rPr>
          <w:b/>
          <w:bCs/>
          <w:sz w:val="20"/>
          <w:szCs w:val="20"/>
          <w:highlight w:val="white"/>
        </w:rPr>
        <w:t xml:space="preserve">CE credit provided by AKH Inc., Advancing Knowledge in Healthcare. </w:t>
      </w:r>
      <w:r>
        <w:rPr>
          <w:noProof/>
        </w:rPr>
        <w:drawing>
          <wp:anchor distT="0" distB="0" distL="114300" distR="114300" simplePos="0" relativeHeight="251658240" behindDoc="0" locked="0" layoutInCell="1" hidden="0" allowOverlap="1">
            <wp:simplePos x="0" y="0"/>
            <wp:positionH relativeFrom="column">
              <wp:posOffset>2544</wp:posOffset>
            </wp:positionH>
            <wp:positionV relativeFrom="paragraph">
              <wp:posOffset>3175</wp:posOffset>
            </wp:positionV>
            <wp:extent cx="1148080" cy="433705"/>
            <wp:effectExtent l="0" t="0" r="0" b="0"/>
            <wp:wrapSquare wrapText="bothSides" distT="0" distB="0" distL="114300" distR="114300"/>
            <wp:docPr id="125309330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148080" cy="433705"/>
                    </a:xfrm>
                    <a:prstGeom prst="rect">
                      <a:avLst/>
                    </a:prstGeom>
                    <a:ln/>
                  </pic:spPr>
                </pic:pic>
              </a:graphicData>
            </a:graphic>
          </wp:anchor>
        </w:drawing>
      </w:r>
    </w:p>
    <w:p w14:paraId="00000022" w14:textId="77777777" w:rsidR="00396495" w:rsidRDefault="00396495">
      <w:pPr>
        <w:spacing w:after="0" w:line="240" w:lineRule="auto"/>
        <w:rPr>
          <w:b/>
          <w:bCs/>
          <w:sz w:val="20"/>
          <w:szCs w:val="20"/>
          <w:highlight w:val="white"/>
        </w:rPr>
      </w:pPr>
    </w:p>
    <w:p w14:paraId="00000023" w14:textId="77777777" w:rsidR="00396495" w:rsidRDefault="00396495">
      <w:pPr>
        <w:spacing w:after="0" w:line="240" w:lineRule="auto"/>
        <w:rPr>
          <w:b/>
          <w:bCs/>
          <w:sz w:val="20"/>
          <w:szCs w:val="20"/>
          <w:highlight w:val="white"/>
        </w:rPr>
      </w:pPr>
    </w:p>
    <w:p w14:paraId="00000026" w14:textId="6D332EAD" w:rsidR="00396495" w:rsidRDefault="00000000">
      <w:pPr>
        <w:spacing w:after="0" w:line="240" w:lineRule="auto"/>
        <w:rPr>
          <w:sz w:val="20"/>
          <w:szCs w:val="20"/>
        </w:rPr>
      </w:pPr>
      <w:r>
        <w:rPr>
          <w:sz w:val="20"/>
          <w:szCs w:val="20"/>
        </w:rPr>
        <w:t>In support of improving patient care, this activity has been planned and implemented by AKH Inc., Advancing Knowledge in Healthcare and</w:t>
      </w:r>
      <w:r w:rsidR="001A5B2A">
        <w:rPr>
          <w:sz w:val="20"/>
          <w:szCs w:val="20"/>
        </w:rPr>
        <w:t xml:space="preserve"> MDA</w:t>
      </w:r>
      <w:r>
        <w:rPr>
          <w:sz w:val="20"/>
          <w:szCs w:val="20"/>
        </w:rPr>
        <w:t>. AKH Inc., Advancing Knowledge in Healthcare is jointly accredited by the Accreditation Council for Continuing Medical Education (ACCME), the Accreditation Council for Pharmacy Education (ACPE), and the American Nurses Credentialing Center (ANCC), to provide continuing education for the healthcare team.</w:t>
      </w:r>
      <w:r>
        <w:rPr>
          <w:noProof/>
        </w:rPr>
        <w:drawing>
          <wp:anchor distT="0" distB="0" distL="114300" distR="114300" simplePos="0" relativeHeight="251659264" behindDoc="0" locked="0" layoutInCell="1" hidden="0" allowOverlap="1">
            <wp:simplePos x="0" y="0"/>
            <wp:positionH relativeFrom="column">
              <wp:posOffset>2544</wp:posOffset>
            </wp:positionH>
            <wp:positionV relativeFrom="paragraph">
              <wp:posOffset>94615</wp:posOffset>
            </wp:positionV>
            <wp:extent cx="1116965" cy="767080"/>
            <wp:effectExtent l="0" t="0" r="0" b="0"/>
            <wp:wrapSquare wrapText="bothSides" distT="0" distB="0" distL="114300" distR="114300"/>
            <wp:docPr id="12530933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16965" cy="767080"/>
                    </a:xfrm>
                    <a:prstGeom prst="rect">
                      <a:avLst/>
                    </a:prstGeom>
                    <a:ln/>
                  </pic:spPr>
                </pic:pic>
              </a:graphicData>
            </a:graphic>
          </wp:anchor>
        </w:drawing>
      </w:r>
    </w:p>
    <w:p w14:paraId="00000027" w14:textId="77777777" w:rsidR="00396495" w:rsidRDefault="00396495">
      <w:pPr>
        <w:spacing w:after="0" w:line="240" w:lineRule="auto"/>
        <w:rPr>
          <w:sz w:val="20"/>
          <w:szCs w:val="20"/>
        </w:rPr>
      </w:pPr>
    </w:p>
    <w:p w14:paraId="0000002B" w14:textId="77777777" w:rsidR="00396495" w:rsidRDefault="00396495">
      <w:pPr>
        <w:pBdr>
          <w:top w:val="nil"/>
          <w:left w:val="nil"/>
          <w:bottom w:val="nil"/>
          <w:right w:val="nil"/>
          <w:between w:val="nil"/>
        </w:pBdr>
        <w:spacing w:after="0" w:line="240" w:lineRule="auto"/>
        <w:rPr>
          <w:b/>
          <w:bCs/>
          <w:color w:val="000000"/>
          <w:sz w:val="20"/>
          <w:szCs w:val="20"/>
        </w:rPr>
      </w:pPr>
    </w:p>
    <w:p w14:paraId="0000002C" w14:textId="77777777" w:rsidR="00396495" w:rsidRDefault="00396495">
      <w:pPr>
        <w:pBdr>
          <w:top w:val="nil"/>
          <w:left w:val="nil"/>
          <w:bottom w:val="nil"/>
          <w:right w:val="nil"/>
          <w:between w:val="nil"/>
        </w:pBdr>
        <w:spacing w:after="0" w:line="240" w:lineRule="auto"/>
        <w:rPr>
          <w:b/>
          <w:bCs/>
          <w:color w:val="000000"/>
          <w:sz w:val="20"/>
          <w:szCs w:val="20"/>
        </w:rPr>
      </w:pPr>
    </w:p>
    <w:p w14:paraId="0000002D" w14:textId="2E7C7F8C" w:rsidR="00396495" w:rsidRDefault="00000000">
      <w:pPr>
        <w:pBdr>
          <w:top w:val="nil"/>
          <w:left w:val="nil"/>
          <w:bottom w:val="nil"/>
          <w:right w:val="nil"/>
          <w:between w:val="nil"/>
        </w:pBdr>
        <w:spacing w:after="0" w:line="240" w:lineRule="auto"/>
        <w:rPr>
          <w:color w:val="000000"/>
          <w:sz w:val="20"/>
          <w:szCs w:val="20"/>
        </w:rPr>
      </w:pPr>
      <w:r>
        <w:rPr>
          <w:noProof/>
          <w:sz w:val="20"/>
          <w:szCs w:val="20"/>
        </w:rPr>
        <w:lastRenderedPageBreak/>
        <w:drawing>
          <wp:inline distT="114300" distB="114300" distL="114300" distR="114300">
            <wp:extent cx="482600" cy="342900"/>
            <wp:effectExtent l="0" t="0" r="0" b="0"/>
            <wp:docPr id="12530933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482600" cy="342900"/>
                    </a:xfrm>
                    <a:prstGeom prst="rect">
                      <a:avLst/>
                    </a:prstGeom>
                    <a:ln/>
                  </pic:spPr>
                </pic:pic>
              </a:graphicData>
            </a:graphic>
          </wp:inline>
        </w:drawing>
      </w:r>
      <w:r>
        <w:rPr>
          <w:color w:val="2F2F2F"/>
          <w:sz w:val="20"/>
          <w:szCs w:val="20"/>
          <w:highlight w:val="white"/>
        </w:rPr>
        <w:t xml:space="preserve">This activity was planned by and for the healthcare team, and learners will </w:t>
      </w:r>
      <w:r w:rsidRPr="001A5B2A">
        <w:rPr>
          <w:color w:val="2F2F2F"/>
          <w:sz w:val="20"/>
          <w:szCs w:val="20"/>
        </w:rPr>
        <w:t xml:space="preserve">receive </w:t>
      </w:r>
      <w:r w:rsidR="001A5B2A" w:rsidRPr="001A5B2A">
        <w:rPr>
          <w:sz w:val="20"/>
          <w:szCs w:val="20"/>
        </w:rPr>
        <w:t>1.5</w:t>
      </w:r>
      <w:r w:rsidRPr="001A5B2A">
        <w:rPr>
          <w:sz w:val="20"/>
          <w:szCs w:val="20"/>
        </w:rPr>
        <w:t xml:space="preserve"> </w:t>
      </w:r>
      <w:r w:rsidRPr="001A5B2A">
        <w:rPr>
          <w:color w:val="2F2F2F"/>
          <w:sz w:val="20"/>
          <w:szCs w:val="20"/>
        </w:rPr>
        <w:t xml:space="preserve">Interprofessional </w:t>
      </w:r>
      <w:r>
        <w:rPr>
          <w:color w:val="2F2F2F"/>
          <w:sz w:val="20"/>
          <w:szCs w:val="20"/>
          <w:highlight w:val="white"/>
        </w:rPr>
        <w:t>Continuing Education (IPCE) credit for learning and change.</w:t>
      </w:r>
    </w:p>
    <w:p w14:paraId="0000002E" w14:textId="77777777" w:rsidR="00396495" w:rsidRDefault="00396495">
      <w:pPr>
        <w:pBdr>
          <w:top w:val="nil"/>
          <w:left w:val="nil"/>
          <w:bottom w:val="nil"/>
          <w:right w:val="nil"/>
          <w:between w:val="nil"/>
        </w:pBdr>
        <w:spacing w:after="0" w:line="240" w:lineRule="auto"/>
        <w:rPr>
          <w:b/>
          <w:bCs/>
          <w:color w:val="000000"/>
          <w:sz w:val="20"/>
          <w:szCs w:val="20"/>
        </w:rPr>
      </w:pPr>
    </w:p>
    <w:p w14:paraId="0000002F" w14:textId="77777777" w:rsidR="00396495" w:rsidRDefault="00396495">
      <w:pPr>
        <w:pBdr>
          <w:top w:val="nil"/>
          <w:left w:val="nil"/>
          <w:bottom w:val="nil"/>
          <w:right w:val="nil"/>
          <w:between w:val="nil"/>
        </w:pBdr>
        <w:spacing w:after="0" w:line="240" w:lineRule="auto"/>
        <w:rPr>
          <w:b/>
          <w:bCs/>
          <w:color w:val="000000"/>
          <w:sz w:val="20"/>
          <w:szCs w:val="20"/>
        </w:rPr>
      </w:pPr>
    </w:p>
    <w:p w14:paraId="00000030" w14:textId="77777777" w:rsidR="00396495" w:rsidRDefault="00396495">
      <w:pPr>
        <w:pBdr>
          <w:top w:val="nil"/>
          <w:left w:val="nil"/>
          <w:bottom w:val="nil"/>
          <w:right w:val="nil"/>
          <w:between w:val="nil"/>
        </w:pBdr>
        <w:spacing w:after="0" w:line="240" w:lineRule="auto"/>
        <w:rPr>
          <w:b/>
          <w:bCs/>
          <w:color w:val="000000"/>
          <w:sz w:val="20"/>
          <w:szCs w:val="20"/>
        </w:rPr>
      </w:pPr>
    </w:p>
    <w:p w14:paraId="00000031" w14:textId="25111A0C" w:rsidR="00396495" w:rsidRDefault="00000000">
      <w:pPr>
        <w:pBdr>
          <w:top w:val="nil"/>
          <w:left w:val="nil"/>
          <w:bottom w:val="nil"/>
          <w:right w:val="nil"/>
          <w:between w:val="nil"/>
        </w:pBdr>
        <w:spacing w:after="0" w:line="240" w:lineRule="auto"/>
        <w:rPr>
          <w:color w:val="000000"/>
          <w:sz w:val="20"/>
          <w:szCs w:val="20"/>
          <w:highlight w:val="white"/>
        </w:rPr>
      </w:pPr>
      <w:bookmarkStart w:id="0" w:name="_heading=h.30j0zll" w:colFirst="0" w:colLast="0"/>
      <w:bookmarkEnd w:id="0"/>
      <w:r>
        <w:rPr>
          <w:b/>
          <w:bCs/>
          <w:color w:val="000000"/>
          <w:sz w:val="20"/>
          <w:szCs w:val="20"/>
        </w:rPr>
        <w:t>Physicians</w:t>
      </w:r>
      <w:r>
        <w:rPr>
          <w:color w:val="000000"/>
          <w:sz w:val="20"/>
          <w:szCs w:val="20"/>
        </w:rPr>
        <w:br/>
      </w:r>
      <w:r>
        <w:rPr>
          <w:color w:val="000000"/>
          <w:sz w:val="20"/>
          <w:szCs w:val="20"/>
          <w:highlight w:val="white"/>
        </w:rPr>
        <w:t xml:space="preserve">AKH Inc., Advancing Knowledge in Healthcare designates </w:t>
      </w:r>
      <w:r w:rsidRPr="001A5B2A">
        <w:rPr>
          <w:color w:val="000000"/>
          <w:sz w:val="20"/>
          <w:szCs w:val="20"/>
        </w:rPr>
        <w:t xml:space="preserve">this live activity for </w:t>
      </w:r>
      <w:r>
        <w:rPr>
          <w:color w:val="000000"/>
          <w:sz w:val="20"/>
          <w:szCs w:val="20"/>
          <w:highlight w:val="white"/>
        </w:rPr>
        <w:t>a maximum of</w:t>
      </w:r>
      <w:r w:rsidR="001A5B2A">
        <w:rPr>
          <w:color w:val="000000"/>
          <w:sz w:val="20"/>
          <w:szCs w:val="20"/>
          <w:highlight w:val="white"/>
        </w:rPr>
        <w:t xml:space="preserve"> 1.5</w:t>
      </w:r>
      <w:r>
        <w:rPr>
          <w:color w:val="000000"/>
          <w:sz w:val="20"/>
          <w:szCs w:val="20"/>
          <w:highlight w:val="white"/>
        </w:rPr>
        <w:t> </w:t>
      </w:r>
      <w:r>
        <w:rPr>
          <w:i/>
          <w:iCs/>
          <w:color w:val="000000"/>
          <w:sz w:val="20"/>
          <w:szCs w:val="20"/>
          <w:highlight w:val="white"/>
        </w:rPr>
        <w:t>AMA PRA Category 1 Credit(s)</w:t>
      </w:r>
      <w:r>
        <w:rPr>
          <w:color w:val="000000"/>
          <w:sz w:val="20"/>
          <w:szCs w:val="20"/>
          <w:highlight w:val="white"/>
        </w:rPr>
        <w:t>™. Physicians should claim only the credit commensurate with the extent of their participation in the activity.</w:t>
      </w:r>
    </w:p>
    <w:p w14:paraId="00000034" w14:textId="77777777" w:rsidR="00396495" w:rsidRDefault="00396495">
      <w:pPr>
        <w:pBdr>
          <w:top w:val="nil"/>
          <w:left w:val="nil"/>
          <w:bottom w:val="nil"/>
          <w:right w:val="nil"/>
          <w:between w:val="nil"/>
        </w:pBdr>
        <w:spacing w:after="0" w:line="240" w:lineRule="auto"/>
        <w:rPr>
          <w:color w:val="000000"/>
          <w:sz w:val="20"/>
          <w:szCs w:val="20"/>
          <w:highlight w:val="white"/>
        </w:rPr>
      </w:pPr>
    </w:p>
    <w:p w14:paraId="52699A88" w14:textId="77777777" w:rsidR="001A5B2A" w:rsidRDefault="001A5B2A">
      <w:pPr>
        <w:spacing w:after="0" w:line="240" w:lineRule="auto"/>
        <w:rPr>
          <w:b/>
          <w:bCs/>
          <w:sz w:val="20"/>
          <w:szCs w:val="20"/>
        </w:rPr>
      </w:pPr>
    </w:p>
    <w:p w14:paraId="781BE952" w14:textId="77777777" w:rsidR="001A5B2A" w:rsidRDefault="001A5B2A">
      <w:pPr>
        <w:spacing w:after="0" w:line="240" w:lineRule="auto"/>
        <w:rPr>
          <w:b/>
          <w:bCs/>
          <w:sz w:val="20"/>
          <w:szCs w:val="20"/>
        </w:rPr>
      </w:pPr>
    </w:p>
    <w:p w14:paraId="00000035" w14:textId="385A37D0" w:rsidR="00396495" w:rsidRDefault="00000000">
      <w:pPr>
        <w:spacing w:after="0" w:line="240" w:lineRule="auto"/>
        <w:rPr>
          <w:b/>
          <w:bCs/>
          <w:sz w:val="20"/>
          <w:szCs w:val="20"/>
        </w:rPr>
      </w:pPr>
      <w:r>
        <w:rPr>
          <w:b/>
          <w:bCs/>
          <w:sz w:val="20"/>
          <w:szCs w:val="20"/>
        </w:rPr>
        <w:t>Nurses</w:t>
      </w:r>
    </w:p>
    <w:p w14:paraId="00000036" w14:textId="579B3067" w:rsidR="00396495"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Credit being awarded: </w:t>
      </w:r>
      <w:r w:rsidR="001A5B2A">
        <w:rPr>
          <w:color w:val="000000"/>
          <w:sz w:val="20"/>
          <w:szCs w:val="20"/>
        </w:rPr>
        <w:t xml:space="preserve">1.5 </w:t>
      </w:r>
      <w:r>
        <w:rPr>
          <w:color w:val="000000"/>
          <w:sz w:val="20"/>
          <w:szCs w:val="20"/>
        </w:rPr>
        <w:t>ANCC contact hours</w:t>
      </w:r>
    </w:p>
    <w:p w14:paraId="00000037" w14:textId="77777777" w:rsidR="00396495" w:rsidRDefault="00396495">
      <w:pPr>
        <w:pBdr>
          <w:top w:val="nil"/>
          <w:left w:val="nil"/>
          <w:bottom w:val="nil"/>
          <w:right w:val="nil"/>
          <w:between w:val="nil"/>
        </w:pBdr>
        <w:spacing w:after="0" w:line="240" w:lineRule="auto"/>
        <w:rPr>
          <w:sz w:val="20"/>
          <w:szCs w:val="20"/>
        </w:rPr>
      </w:pPr>
    </w:p>
    <w:p w14:paraId="0000003D" w14:textId="570A4794" w:rsidR="00396495" w:rsidRDefault="001A5B2A">
      <w:pPr>
        <w:pBdr>
          <w:top w:val="nil"/>
          <w:left w:val="nil"/>
          <w:bottom w:val="nil"/>
          <w:right w:val="nil"/>
          <w:between w:val="nil"/>
        </w:pBdr>
        <w:spacing w:after="0" w:line="240" w:lineRule="auto"/>
        <w:rPr>
          <w:color w:val="000000"/>
          <w:sz w:val="20"/>
          <w:szCs w:val="20"/>
        </w:rPr>
      </w:pPr>
      <w:r>
        <w:rPr>
          <w:b/>
          <w:bCs/>
          <w:color w:val="000000"/>
          <w:sz w:val="20"/>
          <w:szCs w:val="20"/>
        </w:rPr>
        <w:t>Physician Associate</w:t>
      </w:r>
    </w:p>
    <w:p w14:paraId="0000003E" w14:textId="58F20081" w:rsidR="00396495" w:rsidRDefault="00000000">
      <w:pPr>
        <w:pBdr>
          <w:top w:val="nil"/>
          <w:left w:val="nil"/>
          <w:bottom w:val="nil"/>
          <w:right w:val="nil"/>
          <w:between w:val="nil"/>
        </w:pBdr>
        <w:spacing w:after="0" w:line="240" w:lineRule="auto"/>
        <w:ind w:left="720" w:firstLine="720"/>
        <w:rPr>
          <w:b/>
          <w:bCs/>
          <w:color w:val="000000"/>
          <w:sz w:val="20"/>
          <w:szCs w:val="20"/>
        </w:rPr>
      </w:pPr>
      <w:r>
        <w:rPr>
          <w:noProof/>
        </w:rPr>
        <w:drawing>
          <wp:anchor distT="0" distB="0" distL="114300" distR="114300" simplePos="0" relativeHeight="251662336" behindDoc="0" locked="0" layoutInCell="1" hidden="0" allowOverlap="1">
            <wp:simplePos x="0" y="0"/>
            <wp:positionH relativeFrom="column">
              <wp:posOffset>2</wp:posOffset>
            </wp:positionH>
            <wp:positionV relativeFrom="paragraph">
              <wp:posOffset>11430</wp:posOffset>
            </wp:positionV>
            <wp:extent cx="734060" cy="709930"/>
            <wp:effectExtent l="0" t="0" r="0" b="0"/>
            <wp:wrapNone/>
            <wp:docPr id="1253093305" name="image5.jpg" descr="A blue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blue circle with white text&#10;&#10;Description automatically generated"/>
                    <pic:cNvPicPr preferRelativeResize="0"/>
                  </pic:nvPicPr>
                  <pic:blipFill>
                    <a:blip r:embed="rId10"/>
                    <a:srcRect/>
                    <a:stretch>
                      <a:fillRect/>
                    </a:stretch>
                  </pic:blipFill>
                  <pic:spPr>
                    <a:xfrm>
                      <a:off x="0" y="0"/>
                      <a:ext cx="734060" cy="709930"/>
                    </a:xfrm>
                    <a:prstGeom prst="rect">
                      <a:avLst/>
                    </a:prstGeom>
                    <a:ln/>
                  </pic:spPr>
                </pic:pic>
              </a:graphicData>
            </a:graphic>
          </wp:anchor>
        </w:drawing>
      </w:r>
    </w:p>
    <w:p w14:paraId="0000003F" w14:textId="71862A28" w:rsidR="00396495" w:rsidRDefault="00000000">
      <w:pPr>
        <w:pBdr>
          <w:top w:val="nil"/>
          <w:left w:val="nil"/>
          <w:bottom w:val="nil"/>
          <w:right w:val="nil"/>
          <w:between w:val="nil"/>
        </w:pBdr>
        <w:spacing w:after="0" w:line="240" w:lineRule="auto"/>
        <w:ind w:left="1440"/>
        <w:rPr>
          <w:color w:val="000000"/>
          <w:sz w:val="20"/>
          <w:szCs w:val="20"/>
        </w:rPr>
      </w:pPr>
      <w:r>
        <w:rPr>
          <w:color w:val="000000"/>
          <w:sz w:val="20"/>
          <w:szCs w:val="20"/>
        </w:rPr>
        <w:t xml:space="preserve">AKH Inc., Advancing Knowledge in Healthcare has been authorized by the American Academy of Physician Associates (AAPA) to award AAPA Category 1 CME credit for activities planned in accordance with AAPA CME Criteria. This activity is designated for </w:t>
      </w:r>
      <w:r w:rsidR="001A5B2A">
        <w:rPr>
          <w:color w:val="000000"/>
          <w:sz w:val="20"/>
          <w:szCs w:val="20"/>
        </w:rPr>
        <w:t>1.5</w:t>
      </w:r>
      <w:r>
        <w:rPr>
          <w:color w:val="000000"/>
          <w:sz w:val="20"/>
          <w:szCs w:val="20"/>
        </w:rPr>
        <w:t xml:space="preserve"> AAPA Category 1 CME credits. PAs should only claim credit commensurate with the extent of their participation.</w:t>
      </w:r>
    </w:p>
    <w:p w14:paraId="00000046" w14:textId="77777777" w:rsidR="00396495" w:rsidRDefault="00396495">
      <w:pPr>
        <w:pBdr>
          <w:top w:val="nil"/>
          <w:left w:val="nil"/>
          <w:bottom w:val="nil"/>
          <w:right w:val="nil"/>
          <w:between w:val="nil"/>
        </w:pBdr>
        <w:spacing w:after="0" w:line="240" w:lineRule="auto"/>
        <w:rPr>
          <w:color w:val="000000"/>
          <w:sz w:val="20"/>
          <w:szCs w:val="20"/>
          <w:highlight w:val="white"/>
        </w:rPr>
      </w:pPr>
    </w:p>
    <w:p w14:paraId="00000047" w14:textId="77777777" w:rsidR="00396495" w:rsidRDefault="00396495">
      <w:pPr>
        <w:spacing w:after="0" w:line="240" w:lineRule="auto"/>
        <w:rPr>
          <w:color w:val="000000"/>
          <w:sz w:val="20"/>
          <w:szCs w:val="20"/>
        </w:rPr>
      </w:pPr>
    </w:p>
    <w:p w14:paraId="00000048" w14:textId="77777777" w:rsidR="00396495" w:rsidRDefault="00396495">
      <w:pPr>
        <w:spacing w:after="0" w:line="240" w:lineRule="auto"/>
        <w:rPr>
          <w:b/>
          <w:bCs/>
          <w:sz w:val="20"/>
          <w:szCs w:val="20"/>
          <w:highlight w:val="white"/>
        </w:rPr>
      </w:pPr>
    </w:p>
    <w:p w14:paraId="00000049" w14:textId="1A9E9214" w:rsidR="00396495" w:rsidRDefault="00000000">
      <w:pPr>
        <w:spacing w:after="0" w:line="240" w:lineRule="auto"/>
        <w:rPr>
          <w:b/>
          <w:bCs/>
          <w:sz w:val="20"/>
          <w:szCs w:val="20"/>
        </w:rPr>
      </w:pPr>
      <w:r>
        <w:rPr>
          <w:b/>
          <w:bCs/>
          <w:sz w:val="20"/>
          <w:szCs w:val="20"/>
          <w:highlight w:val="white"/>
        </w:rPr>
        <w:t>Nurse Practitioners</w:t>
      </w:r>
    </w:p>
    <w:p w14:paraId="0000004D" w14:textId="719C776D" w:rsidR="00396495" w:rsidRPr="002D2A8B" w:rsidRDefault="00000000" w:rsidP="002D2A8B">
      <w:pPr>
        <w:spacing w:after="0" w:line="240" w:lineRule="auto"/>
        <w:ind w:left="3600"/>
        <w:rPr>
          <w:sz w:val="20"/>
          <w:szCs w:val="20"/>
        </w:rPr>
      </w:pPr>
      <w:r>
        <w:rPr>
          <w:sz w:val="20"/>
          <w:szCs w:val="20"/>
          <w:highlight w:val="white"/>
        </w:rPr>
        <w:t xml:space="preserve">This activity has been planned and implemented in accordance with the Accreditation Standards of the American Association of Nurse Practitioners (AANP) through the joint providership of AKH Inc., Advancing Knowledge in Healthcare and </w:t>
      </w:r>
      <w:r w:rsidR="001A5B2A" w:rsidRPr="001A5B2A">
        <w:rPr>
          <w:sz w:val="20"/>
          <w:szCs w:val="20"/>
        </w:rPr>
        <w:t>MDA</w:t>
      </w:r>
      <w:r w:rsidRPr="001A5B2A">
        <w:rPr>
          <w:sz w:val="20"/>
          <w:szCs w:val="20"/>
        </w:rPr>
        <w:t xml:space="preserve">.  </w:t>
      </w:r>
      <w:r>
        <w:rPr>
          <w:sz w:val="20"/>
          <w:szCs w:val="20"/>
          <w:highlight w:val="white"/>
        </w:rPr>
        <w:t xml:space="preserve">AKH Inc., Advancing Knowledge in Healthcare is accredited by the American Association of Nurse Practitioners as an approved provider of nurse practitioner continuing education. Provider number: 030803. This activity is approved </w:t>
      </w:r>
      <w:r w:rsidRPr="001A5B2A">
        <w:rPr>
          <w:sz w:val="20"/>
          <w:szCs w:val="20"/>
        </w:rPr>
        <w:t xml:space="preserve">for </w:t>
      </w:r>
      <w:r w:rsidR="001A5B2A" w:rsidRPr="001A5B2A">
        <w:rPr>
          <w:sz w:val="20"/>
          <w:szCs w:val="20"/>
        </w:rPr>
        <w:t xml:space="preserve">1.5 </w:t>
      </w:r>
      <w:r>
        <w:rPr>
          <w:sz w:val="20"/>
          <w:szCs w:val="20"/>
          <w:highlight w:val="white"/>
        </w:rPr>
        <w:t xml:space="preserve">contact hour(s) (which </w:t>
      </w:r>
      <w:r w:rsidRPr="001A5B2A">
        <w:rPr>
          <w:sz w:val="20"/>
          <w:szCs w:val="20"/>
        </w:rPr>
        <w:t xml:space="preserve">includes </w:t>
      </w:r>
      <w:r w:rsidR="001A5B2A" w:rsidRPr="001A5B2A">
        <w:rPr>
          <w:sz w:val="20"/>
          <w:szCs w:val="20"/>
        </w:rPr>
        <w:t>0</w:t>
      </w:r>
      <w:r w:rsidRPr="001A5B2A">
        <w:rPr>
          <w:sz w:val="20"/>
          <w:szCs w:val="20"/>
        </w:rPr>
        <w:t xml:space="preserve"> hour(s) of pharmacology</w:t>
      </w:r>
      <w:r>
        <w:rPr>
          <w:sz w:val="20"/>
          <w:szCs w:val="20"/>
          <w:highlight w:val="white"/>
        </w:rPr>
        <w:t>).</w:t>
      </w:r>
      <w:r>
        <w:rPr>
          <w:noProof/>
        </w:rPr>
        <w:drawing>
          <wp:anchor distT="0" distB="0" distL="114300" distR="114300" simplePos="0" relativeHeight="251665408" behindDoc="0" locked="0" layoutInCell="1" hidden="0" allowOverlap="1">
            <wp:simplePos x="0" y="0"/>
            <wp:positionH relativeFrom="column">
              <wp:posOffset>-633</wp:posOffset>
            </wp:positionH>
            <wp:positionV relativeFrom="paragraph">
              <wp:posOffset>12700</wp:posOffset>
            </wp:positionV>
            <wp:extent cx="2200275" cy="428625"/>
            <wp:effectExtent l="0" t="0" r="0" b="0"/>
            <wp:wrapNone/>
            <wp:docPr id="1253093298" name="image9.png" descr="A black background with red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black background with red and blue text&#10;&#10;Description automatically generated"/>
                    <pic:cNvPicPr preferRelativeResize="0"/>
                  </pic:nvPicPr>
                  <pic:blipFill>
                    <a:blip r:embed="rId11"/>
                    <a:srcRect/>
                    <a:stretch>
                      <a:fillRect/>
                    </a:stretch>
                  </pic:blipFill>
                  <pic:spPr>
                    <a:xfrm>
                      <a:off x="0" y="0"/>
                      <a:ext cx="2200275" cy="428625"/>
                    </a:xfrm>
                    <a:prstGeom prst="rect">
                      <a:avLst/>
                    </a:prstGeom>
                    <a:ln/>
                  </pic:spPr>
                </pic:pic>
              </a:graphicData>
            </a:graphic>
          </wp:anchor>
        </w:drawing>
      </w:r>
      <w:r w:rsidR="002D2A8B">
        <w:rPr>
          <w:color w:val="000000"/>
          <w:sz w:val="20"/>
          <w:szCs w:val="20"/>
        </w:rPr>
        <w:t xml:space="preserve"> </w:t>
      </w:r>
    </w:p>
    <w:p w14:paraId="00000066" w14:textId="77777777" w:rsidR="00396495" w:rsidRDefault="00396495">
      <w:pPr>
        <w:spacing w:after="0" w:line="240" w:lineRule="auto"/>
        <w:rPr>
          <w:b/>
          <w:bCs/>
          <w:color w:val="000000"/>
          <w:sz w:val="20"/>
          <w:szCs w:val="20"/>
        </w:rPr>
      </w:pPr>
    </w:p>
    <w:p w14:paraId="0000006A" w14:textId="51175D5F" w:rsidR="00396495" w:rsidRDefault="00000000" w:rsidP="002D2A8B">
      <w:pPr>
        <w:spacing w:after="0" w:line="240" w:lineRule="auto"/>
        <w:rPr>
          <w:color w:val="000000"/>
          <w:sz w:val="20"/>
          <w:szCs w:val="20"/>
        </w:rPr>
      </w:pPr>
      <w:r>
        <w:rPr>
          <w:b/>
          <w:bCs/>
          <w:color w:val="000000"/>
          <w:sz w:val="20"/>
          <w:szCs w:val="20"/>
        </w:rPr>
        <w:t xml:space="preserve">       </w:t>
      </w:r>
    </w:p>
    <w:p w14:paraId="0000006B" w14:textId="77777777" w:rsidR="00396495" w:rsidRDefault="00396495">
      <w:pPr>
        <w:spacing w:after="0" w:line="240" w:lineRule="auto"/>
        <w:rPr>
          <w:color w:val="000000"/>
          <w:sz w:val="20"/>
          <w:szCs w:val="20"/>
        </w:rPr>
      </w:pPr>
    </w:p>
    <w:p w14:paraId="0000006C" w14:textId="77777777" w:rsidR="00396495" w:rsidRDefault="00000000">
      <w:pPr>
        <w:spacing w:after="0" w:line="240" w:lineRule="auto"/>
        <w:rPr>
          <w:b/>
          <w:bCs/>
          <w:color w:val="000000"/>
          <w:sz w:val="20"/>
          <w:szCs w:val="20"/>
        </w:rPr>
      </w:pPr>
      <w:r>
        <w:rPr>
          <w:b/>
          <w:bCs/>
          <w:color w:val="000000"/>
          <w:sz w:val="20"/>
          <w:szCs w:val="20"/>
        </w:rPr>
        <w:t>Social Workers</w:t>
      </w:r>
    </w:p>
    <w:p w14:paraId="0000006D" w14:textId="45E14B01" w:rsidR="00396495" w:rsidRDefault="00000000">
      <w:pPr>
        <w:spacing w:after="0" w:line="240" w:lineRule="auto"/>
        <w:rPr>
          <w:color w:val="000000"/>
          <w:sz w:val="20"/>
          <w:szCs w:val="20"/>
        </w:rPr>
      </w:pPr>
      <w:r>
        <w:rPr>
          <w:color w:val="000000"/>
          <w:sz w:val="20"/>
          <w:szCs w:val="20"/>
        </w:rPr>
        <w:t xml:space="preserve">As a Jointly Accredited Organization, AKH Inc., Advancing Knowledge in Healthcare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AKH Inc. Advancing Knowledge in Healthcare maintains responsibility for this course. Social workers completing this course receive </w:t>
      </w:r>
      <w:r w:rsidR="002D2A8B">
        <w:rPr>
          <w:color w:val="000000"/>
          <w:sz w:val="20"/>
          <w:szCs w:val="20"/>
        </w:rPr>
        <w:t>1.5</w:t>
      </w:r>
      <w:r>
        <w:rPr>
          <w:color w:val="000000"/>
          <w:sz w:val="20"/>
          <w:szCs w:val="20"/>
        </w:rPr>
        <w:t xml:space="preserve"> </w:t>
      </w:r>
      <w:r w:rsidR="002D2A8B">
        <w:rPr>
          <w:color w:val="000000"/>
          <w:sz w:val="20"/>
          <w:szCs w:val="20"/>
        </w:rPr>
        <w:t>social work clinical practice</w:t>
      </w:r>
      <w:r>
        <w:rPr>
          <w:color w:val="000000"/>
          <w:sz w:val="20"/>
          <w:szCs w:val="20"/>
        </w:rPr>
        <w:t xml:space="preserve"> continuing education credits.</w:t>
      </w:r>
      <w:r>
        <w:rPr>
          <w:noProof/>
        </w:rPr>
        <w:drawing>
          <wp:anchor distT="0" distB="0" distL="114300" distR="114300" simplePos="0" relativeHeight="251670528" behindDoc="0" locked="0" layoutInCell="1" hidden="0" allowOverlap="1">
            <wp:simplePos x="0" y="0"/>
            <wp:positionH relativeFrom="column">
              <wp:posOffset>2544</wp:posOffset>
            </wp:positionH>
            <wp:positionV relativeFrom="paragraph">
              <wp:posOffset>0</wp:posOffset>
            </wp:positionV>
            <wp:extent cx="1480185" cy="560070"/>
            <wp:effectExtent l="0" t="0" r="0" b="0"/>
            <wp:wrapSquare wrapText="bothSides" distT="0" distB="0" distL="114300" distR="114300"/>
            <wp:docPr id="12530933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480185" cy="560070"/>
                    </a:xfrm>
                    <a:prstGeom prst="rect">
                      <a:avLst/>
                    </a:prstGeom>
                    <a:ln/>
                  </pic:spPr>
                </pic:pic>
              </a:graphicData>
            </a:graphic>
          </wp:anchor>
        </w:drawing>
      </w:r>
    </w:p>
    <w:p w14:paraId="0000007A" w14:textId="77777777" w:rsidR="00396495" w:rsidRDefault="00396495">
      <w:pPr>
        <w:spacing w:after="0" w:line="240" w:lineRule="auto"/>
        <w:rPr>
          <w:b/>
          <w:bCs/>
          <w:sz w:val="20"/>
          <w:szCs w:val="20"/>
        </w:rPr>
      </w:pPr>
    </w:p>
    <w:p w14:paraId="00000085" w14:textId="77777777" w:rsidR="00396495" w:rsidRDefault="00396495">
      <w:pPr>
        <w:spacing w:after="0" w:line="240" w:lineRule="auto"/>
        <w:rPr>
          <w:b/>
          <w:bCs/>
          <w:color w:val="000000"/>
          <w:sz w:val="20"/>
          <w:szCs w:val="20"/>
        </w:rPr>
      </w:pPr>
    </w:p>
    <w:p w14:paraId="00000092" w14:textId="77777777" w:rsidR="00396495" w:rsidRDefault="00396495">
      <w:pPr>
        <w:pBdr>
          <w:top w:val="nil"/>
          <w:left w:val="nil"/>
          <w:bottom w:val="nil"/>
          <w:right w:val="nil"/>
          <w:between w:val="nil"/>
        </w:pBdr>
        <w:spacing w:after="0" w:line="240" w:lineRule="auto"/>
        <w:rPr>
          <w:color w:val="000000"/>
          <w:sz w:val="20"/>
          <w:szCs w:val="20"/>
        </w:rPr>
      </w:pPr>
    </w:p>
    <w:p w14:paraId="00000093" w14:textId="77777777" w:rsidR="00396495" w:rsidRDefault="00000000">
      <w:pPr>
        <w:spacing w:after="0" w:line="240" w:lineRule="auto"/>
        <w:rPr>
          <w:b/>
          <w:bCs/>
          <w:color w:val="000000"/>
          <w:sz w:val="20"/>
          <w:szCs w:val="20"/>
        </w:rPr>
      </w:pPr>
      <w:r>
        <w:rPr>
          <w:b/>
          <w:bCs/>
          <w:color w:val="000000"/>
          <w:sz w:val="20"/>
          <w:szCs w:val="20"/>
        </w:rPr>
        <w:t>Commercial Support</w:t>
      </w:r>
    </w:p>
    <w:p w14:paraId="00000095" w14:textId="50396056" w:rsidR="00396495" w:rsidRPr="002D2A8B" w:rsidRDefault="002D2A8B">
      <w:pPr>
        <w:pBdr>
          <w:top w:val="nil"/>
          <w:left w:val="nil"/>
          <w:bottom w:val="nil"/>
          <w:right w:val="nil"/>
          <w:between w:val="nil"/>
        </w:pBdr>
        <w:spacing w:after="0" w:line="240" w:lineRule="auto"/>
        <w:rPr>
          <w:color w:val="000000"/>
          <w:sz w:val="20"/>
          <w:szCs w:val="20"/>
        </w:rPr>
      </w:pPr>
      <w:r w:rsidRPr="002D2A8B">
        <w:rPr>
          <w:sz w:val="20"/>
          <w:szCs w:val="20"/>
        </w:rPr>
        <w:t>This activity is supported from an independent medical education grant from argenx US Inc., Johnson &amp; Johnson, and UCB.</w:t>
      </w:r>
    </w:p>
    <w:p w14:paraId="00000096" w14:textId="77777777" w:rsidR="00396495" w:rsidRDefault="00396495">
      <w:pPr>
        <w:pBdr>
          <w:top w:val="nil"/>
          <w:left w:val="nil"/>
          <w:bottom w:val="nil"/>
          <w:right w:val="nil"/>
          <w:between w:val="nil"/>
        </w:pBdr>
        <w:spacing w:after="0" w:line="240" w:lineRule="auto"/>
        <w:rPr>
          <w:color w:val="000000"/>
          <w:sz w:val="20"/>
          <w:szCs w:val="20"/>
        </w:rPr>
      </w:pPr>
    </w:p>
    <w:p w14:paraId="000000CE" w14:textId="654EEDCA" w:rsidR="00396495" w:rsidRPr="001A5B2A" w:rsidRDefault="00000000">
      <w:pPr>
        <w:spacing w:after="0" w:line="240" w:lineRule="auto"/>
        <w:rPr>
          <w:sz w:val="20"/>
          <w:szCs w:val="20"/>
        </w:rPr>
      </w:pPr>
      <w:sdt>
        <w:sdtPr>
          <w:tag w:val="goog_rdk_1"/>
          <w:id w:val="-1578564397"/>
          <w:showingPlcHdr/>
        </w:sdtPr>
        <w:sdtContent>
          <w:r w:rsidR="002D2A8B">
            <w:t xml:space="preserve">     </w:t>
          </w:r>
        </w:sdtContent>
      </w:sdt>
    </w:p>
    <w:p w14:paraId="000000CF" w14:textId="77777777" w:rsidR="00396495" w:rsidRDefault="00396495">
      <w:pPr>
        <w:spacing w:after="0" w:line="240" w:lineRule="auto"/>
        <w:rPr>
          <w:b/>
          <w:bCs/>
          <w:sz w:val="20"/>
          <w:szCs w:val="20"/>
        </w:rPr>
      </w:pPr>
    </w:p>
    <w:p w14:paraId="000000D0" w14:textId="77777777" w:rsidR="00396495" w:rsidRDefault="00000000">
      <w:pPr>
        <w:spacing w:after="0" w:line="240" w:lineRule="auto"/>
        <w:rPr>
          <w:b/>
          <w:bCs/>
          <w:color w:val="000000"/>
          <w:sz w:val="20"/>
          <w:szCs w:val="20"/>
        </w:rPr>
      </w:pPr>
      <w:r>
        <w:rPr>
          <w:b/>
          <w:bCs/>
          <w:color w:val="000000"/>
          <w:sz w:val="20"/>
          <w:szCs w:val="20"/>
        </w:rPr>
        <w:t>Disclosures</w:t>
      </w:r>
    </w:p>
    <w:p w14:paraId="000000D1" w14:textId="77777777" w:rsidR="00396495" w:rsidRDefault="00000000">
      <w:pPr>
        <w:spacing w:after="0" w:line="240" w:lineRule="auto"/>
        <w:rPr>
          <w:color w:val="000000"/>
          <w:sz w:val="20"/>
          <w:szCs w:val="20"/>
        </w:rPr>
      </w:pPr>
      <w:r>
        <w:rPr>
          <w:color w:val="000000"/>
          <w:sz w:val="20"/>
          <w:szCs w:val="20"/>
        </w:rPr>
        <w:t>It is the policy of AKH Inc. to ensure independence, balance, objectivity, scientific rigor, and integrity in all of its continuing education activities. The author must disclose to the participants any significant relationships with ineligible companies whose products or devices may be mentioned in the activity or with the commercial supporter of this continuing education activity. Identified conflicts of interest are mitigated by AKH prior to accreditation of the activity. AKH planners and reviewers have no relevant financial relationships to disclose.</w:t>
      </w:r>
    </w:p>
    <w:p w14:paraId="000000D2" w14:textId="77777777" w:rsidR="00396495" w:rsidRDefault="00396495">
      <w:pPr>
        <w:spacing w:after="0" w:line="240" w:lineRule="auto"/>
        <w:rPr>
          <w:sz w:val="20"/>
          <w:szCs w:val="20"/>
        </w:rPr>
      </w:pPr>
    </w:p>
    <w:p w14:paraId="000000D3" w14:textId="77777777" w:rsidR="00396495" w:rsidRDefault="00000000">
      <w:pPr>
        <w:spacing w:after="0" w:line="240" w:lineRule="auto"/>
        <w:rPr>
          <w:b/>
          <w:bCs/>
          <w:sz w:val="20"/>
          <w:szCs w:val="20"/>
        </w:rPr>
      </w:pPr>
      <w:r>
        <w:rPr>
          <w:b/>
          <w:bCs/>
          <w:sz w:val="20"/>
          <w:szCs w:val="20"/>
        </w:rPr>
        <w:t xml:space="preserve">Disclosure of Unlabeled Use and Investigational Product </w:t>
      </w:r>
    </w:p>
    <w:p w14:paraId="000000D4" w14:textId="77777777" w:rsidR="00396495" w:rsidRDefault="00000000">
      <w:pPr>
        <w:spacing w:after="0" w:line="240" w:lineRule="auto"/>
        <w:rPr>
          <w:sz w:val="20"/>
          <w:szCs w:val="20"/>
        </w:rPr>
      </w:pPr>
      <w:r>
        <w:rPr>
          <w:sz w:val="20"/>
          <w:szCs w:val="20"/>
        </w:rPr>
        <w:t>This educational activity may include discussion of uses of agents that are investigational and/or unapproved by the FDA. Please refer to the official prescribing information for each product for discussion of approved indications, contraindications, and warnings.</w:t>
      </w:r>
    </w:p>
    <w:p w14:paraId="000000D5" w14:textId="77777777" w:rsidR="00396495" w:rsidRDefault="00396495">
      <w:pPr>
        <w:spacing w:after="0" w:line="240" w:lineRule="auto"/>
        <w:rPr>
          <w:b/>
          <w:bCs/>
          <w:sz w:val="20"/>
          <w:szCs w:val="20"/>
        </w:rPr>
      </w:pPr>
    </w:p>
    <w:p w14:paraId="000000D6" w14:textId="77777777" w:rsidR="00396495" w:rsidRDefault="00000000">
      <w:pPr>
        <w:spacing w:after="0" w:line="240" w:lineRule="auto"/>
        <w:rPr>
          <w:b/>
          <w:bCs/>
          <w:color w:val="000000"/>
          <w:sz w:val="20"/>
          <w:szCs w:val="20"/>
        </w:rPr>
      </w:pPr>
      <w:r>
        <w:rPr>
          <w:b/>
          <w:bCs/>
          <w:color w:val="000000"/>
          <w:sz w:val="20"/>
          <w:szCs w:val="20"/>
        </w:rPr>
        <w:t xml:space="preserve">Disclaimer </w:t>
      </w:r>
    </w:p>
    <w:p w14:paraId="000000D7" w14:textId="77777777" w:rsidR="00396495" w:rsidRDefault="00000000">
      <w:pPr>
        <w:spacing w:after="0" w:line="240" w:lineRule="auto"/>
        <w:rPr>
          <w:color w:val="000000"/>
          <w:sz w:val="20"/>
          <w:szCs w:val="20"/>
        </w:rPr>
      </w:pPr>
      <w:r>
        <w:rPr>
          <w:color w:val="000000"/>
          <w:sz w:val="20"/>
          <w:szCs w:val="20"/>
        </w:rPr>
        <w:t>This course is designed solely to provide the healthcare professional with information to assist in his/her practice and professional development and is not to be considered a diagnostic tool to replace professional advice or treatment. The course serves as a general guide to the healthcare professional, and therefore, cannot be considered as giving legal, nursing, medical, or other professional advice in specific cases. AKH Inc. specifically disclaim responsibility for any adverse consequences resulting directly or indirectly from information in the course, for undetected error, or through participants misunderstanding of the content.</w:t>
      </w:r>
      <w:r>
        <w:rPr>
          <w:sz w:val="20"/>
          <w:szCs w:val="20"/>
        </w:rPr>
        <w:t xml:space="preserve"> If you would like to opt out from future communications from AKH please send an email to optout@akhcme.com with your information with "Opt Out" in the subject line.</w:t>
      </w:r>
    </w:p>
    <w:sectPr w:rsidR="00396495">
      <w:pgSz w:w="12240" w:h="15840"/>
      <w:pgMar w:top="360" w:right="900" w:bottom="9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8F8FF3A-4765-0B41-BFC1-58C1C07325EC}"/>
  </w:font>
  <w:font w:name="Times New Roman">
    <w:panose1 w:val="02020603050405020304"/>
    <w:charset w:val="00"/>
    <w:family w:val="roman"/>
    <w:pitch w:val="variable"/>
    <w:sig w:usb0="E0002EFF" w:usb1="C000785B" w:usb2="00000009" w:usb3="00000000" w:csb0="000001FF" w:csb1="00000000"/>
    <w:embedRegular r:id="rId2" w:fontKey="{ECE14671-B01C-074F-9098-3C2FB2EA895D}"/>
  </w:font>
  <w:font w:name="Courier New">
    <w:panose1 w:val="02070309020205020404"/>
    <w:charset w:val="00"/>
    <w:family w:val="modern"/>
    <w:pitch w:val="fixed"/>
    <w:sig w:usb0="E0002AFF" w:usb1="C0007843" w:usb2="00000009" w:usb3="00000000" w:csb0="000001FF" w:csb1="00000000"/>
    <w:embedRegular r:id="rId3" w:fontKey="{79B75ACA-CD34-EA4B-BF7A-843AF4E41E0F}"/>
  </w:font>
  <w:font w:name="Wingdings">
    <w:panose1 w:val="05000000000000000000"/>
    <w:charset w:val="02"/>
    <w:family w:val="auto"/>
    <w:pitch w:val="variable"/>
    <w:sig w:usb0="00000000" w:usb1="10000000" w:usb2="00000000" w:usb3="00000000" w:csb0="80000000" w:csb1="00000000"/>
    <w:embedRegular r:id="rId4" w:fontKey="{5815871D-3E31-7A48-B5AF-1FF628818944}"/>
  </w:font>
  <w:font w:name="Noto Sans Symbols">
    <w:panose1 w:val="020B0604020202020204"/>
    <w:charset w:val="00"/>
    <w:family w:val="auto"/>
    <w:pitch w:val="default"/>
    <w:embedRegular r:id="rId5" w:fontKey="{61128BE6-11C1-9140-9420-5D9B286A4EE6}"/>
  </w:font>
  <w:font w:name="Calibri">
    <w:panose1 w:val="020F0502020204030204"/>
    <w:charset w:val="00"/>
    <w:family w:val="swiss"/>
    <w:pitch w:val="variable"/>
    <w:sig w:usb0="E0002AFF" w:usb1="C000247B" w:usb2="00000009" w:usb3="00000000" w:csb0="000001FF" w:csb1="00000000"/>
    <w:embedRegular r:id="rId6" w:fontKey="{26BCFC58-479E-8240-A0AE-B129D46C96AA}"/>
    <w:embedBold r:id="rId7" w:fontKey="{DEB0050E-18CE-C142-AB0E-FF9EAC0BFEB8}"/>
    <w:embedItalic r:id="rId8" w:fontKey="{34DCAD01-D5B7-2547-A734-5303C493B6FE}"/>
  </w:font>
  <w:font w:name="Georgia">
    <w:panose1 w:val="02040502050405020303"/>
    <w:charset w:val="00"/>
    <w:family w:val="roman"/>
    <w:pitch w:val="variable"/>
    <w:sig w:usb0="00000287" w:usb1="00000000" w:usb2="00000000" w:usb3="00000000" w:csb0="0000009F" w:csb1="00000000"/>
    <w:embedItalic r:id="rId9" w:fontKey="{256CD2CD-268D-D344-A308-9DB5386A6239}"/>
  </w:font>
  <w:font w:name="Cambria">
    <w:panose1 w:val="02040503050406030204"/>
    <w:charset w:val="00"/>
    <w:family w:val="roman"/>
    <w:pitch w:val="variable"/>
    <w:sig w:usb0="E00006FF" w:usb1="420024FF" w:usb2="02000000" w:usb3="00000000" w:csb0="0000019F" w:csb1="00000000"/>
    <w:embedRegular r:id="rId10" w:fontKey="{62E39EBD-A6F6-1149-BDC7-38DF7358F5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7277"/>
    <w:multiLevelType w:val="multilevel"/>
    <w:tmpl w:val="3DD8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647B2"/>
    <w:multiLevelType w:val="hybridMultilevel"/>
    <w:tmpl w:val="8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D743B"/>
    <w:multiLevelType w:val="multilevel"/>
    <w:tmpl w:val="A262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931AB2"/>
    <w:multiLevelType w:val="hybridMultilevel"/>
    <w:tmpl w:val="A898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A431DD"/>
    <w:multiLevelType w:val="multilevel"/>
    <w:tmpl w:val="72EAFDD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16cid:durableId="461506665">
    <w:abstractNumId w:val="4"/>
  </w:num>
  <w:num w:numId="2" w16cid:durableId="1931890142">
    <w:abstractNumId w:val="2"/>
  </w:num>
  <w:num w:numId="3" w16cid:durableId="1207794481">
    <w:abstractNumId w:val="3"/>
  </w:num>
  <w:num w:numId="4" w16cid:durableId="1699426100">
    <w:abstractNumId w:val="0"/>
  </w:num>
  <w:num w:numId="5" w16cid:durableId="1036345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495"/>
    <w:rsid w:val="00114CB6"/>
    <w:rsid w:val="001A5B2A"/>
    <w:rsid w:val="002D2A8B"/>
    <w:rsid w:val="00326ABA"/>
    <w:rsid w:val="00396495"/>
    <w:rsid w:val="003E7A3E"/>
    <w:rsid w:val="00FF0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3A38B"/>
  <w15:docId w15:val="{D23D84EE-DB19-3548-B3B7-83A7A4E0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ableParagraph">
    <w:name w:val="Table Paragraph"/>
    <w:basedOn w:val="Normal"/>
    <w:uiPriority w:val="1"/>
    <w:qFormat/>
    <w:rsid w:val="00FA2E54"/>
    <w:pPr>
      <w:widowControl w:val="0"/>
      <w:autoSpaceDE w:val="0"/>
      <w:autoSpaceDN w:val="0"/>
      <w:spacing w:after="0" w:line="240" w:lineRule="auto"/>
    </w:p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1A5B2A"/>
    <w:rPr>
      <w:color w:val="0000FF" w:themeColor="hyperlink"/>
      <w:u w:val="single"/>
    </w:rPr>
  </w:style>
  <w:style w:type="character" w:styleId="UnresolvedMention">
    <w:name w:val="Unresolved Mention"/>
    <w:basedOn w:val="DefaultParagraphFont"/>
    <w:uiPriority w:val="99"/>
    <w:semiHidden/>
    <w:unhideWhenUsed/>
    <w:rsid w:val="001A5B2A"/>
    <w:rPr>
      <w:color w:val="605E5C"/>
      <w:shd w:val="clear" w:color="auto" w:fill="E1DFDD"/>
    </w:rPr>
  </w:style>
  <w:style w:type="paragraph" w:styleId="ListParagraph">
    <w:name w:val="List Paragraph"/>
    <w:basedOn w:val="Normal"/>
    <w:uiPriority w:val="34"/>
    <w:qFormat/>
    <w:rsid w:val="001A5B2A"/>
    <w:pPr>
      <w:ind w:left="720"/>
      <w:contextualSpacing/>
    </w:pPr>
  </w:style>
  <w:style w:type="paragraph" w:styleId="NormalWeb">
    <w:name w:val="Normal (Web)"/>
    <w:basedOn w:val="Normal"/>
    <w:uiPriority w:val="99"/>
    <w:semiHidden/>
    <w:unhideWhenUsed/>
    <w:rsid w:val="001A5B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khcme.com/content/advancing-diagnostic-precision-and-treatment-selection-m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A6pNdVOv1RhhpzX5EoM6QEmCg==">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Wolynski</dc:creator>
  <cp:lastModifiedBy>Wendi Martin</cp:lastModifiedBy>
  <cp:revision>3</cp:revision>
  <dcterms:created xsi:type="dcterms:W3CDTF">2026-06-04T15:24:00Z</dcterms:created>
  <dcterms:modified xsi:type="dcterms:W3CDTF">2026-06-04T15:26:00Z</dcterms:modified>
</cp:coreProperties>
</file>