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3jo3305z14xa" w:id="0"/>
      <w:bookmarkEnd w:id="0"/>
      <w:r w:rsidDel="00000000" w:rsidR="00000000" w:rsidRPr="00000000">
        <w:rPr>
          <w:b w:val="1"/>
          <w:bCs w:val="1"/>
          <w:color w:val="000000"/>
          <w:sz w:val="26"/>
          <w:szCs w:val="26"/>
          <w:rtl w:val="0"/>
        </w:rPr>
        <w:t xml:space="preserve">Question 1</w:t>
      </w:r>
    </w:p>
    <w:p w:rsidR="00000000" w:rsidDel="00000000" w:rsidP="00000000" w:rsidRDefault="00000000" w:rsidRPr="00000000" w14:paraId="00000002">
      <w:pPr>
        <w:spacing w:after="240" w:before="240" w:lineRule="auto"/>
        <w:rPr/>
      </w:pPr>
      <w:r w:rsidDel="00000000" w:rsidR="00000000" w:rsidRPr="00000000">
        <w:rPr>
          <w:rtl w:val="0"/>
        </w:rPr>
        <w:t xml:space="preserve">A patient presents with chronic fatigue, brain fog, headaches, and muscle aches that consistently improve while away from home and worsen upon returning. Which aspect of the history would most strongly increase suspicion for mold-related illness?</w:t>
      </w:r>
    </w:p>
    <w:p w:rsidR="00000000" w:rsidDel="00000000" w:rsidP="00000000" w:rsidRDefault="00000000" w:rsidRPr="00000000" w14:paraId="00000003">
      <w:pPr>
        <w:spacing w:after="240" w:before="240" w:lineRule="auto"/>
        <w:rPr/>
      </w:pPr>
      <w:r w:rsidDel="00000000" w:rsidR="00000000" w:rsidRPr="00000000">
        <w:rPr>
          <w:rtl w:val="0"/>
        </w:rPr>
        <w:t xml:space="preserve">A. A history of seasonal pollen allergies only</w:t>
      </w:r>
    </w:p>
    <w:p w:rsidR="00000000" w:rsidDel="00000000" w:rsidP="00000000" w:rsidRDefault="00000000" w:rsidRPr="00000000" w14:paraId="00000004">
      <w:pPr>
        <w:spacing w:after="240" w:before="240" w:lineRule="auto"/>
        <w:rPr>
          <w:shd w:fill="ff9900" w:val="clear"/>
        </w:rPr>
      </w:pPr>
      <w:r w:rsidDel="00000000" w:rsidR="00000000" w:rsidRPr="00000000">
        <w:rPr>
          <w:b w:val="1"/>
          <w:bCs w:val="1"/>
          <w:shd w:fill="ff9900" w:val="clear"/>
          <w:rtl w:val="0"/>
        </w:rPr>
        <w:t xml:space="preserve">B. A history of water damage, flooding, or persistent musty odors in the home</w:t>
      </w:r>
      <w:r w:rsidDel="00000000" w:rsidR="00000000" w:rsidRPr="00000000">
        <w:rPr>
          <w:shd w:fill="ff9900" w:val="clear"/>
          <w:rtl w:val="0"/>
        </w:rPr>
        <w:t xml:space="preserve"> </w:t>
      </w:r>
    </w:p>
    <w:p w:rsidR="00000000" w:rsidDel="00000000" w:rsidP="00000000" w:rsidRDefault="00000000" w:rsidRPr="00000000" w14:paraId="00000005">
      <w:pPr>
        <w:spacing w:after="240" w:before="240" w:lineRule="auto"/>
        <w:rPr/>
      </w:pPr>
      <w:r w:rsidDel="00000000" w:rsidR="00000000" w:rsidRPr="00000000">
        <w:rPr>
          <w:rtl w:val="0"/>
        </w:rPr>
        <w:t xml:space="preserve">C. A family history of autoimmune disease</w:t>
      </w:r>
    </w:p>
    <w:p w:rsidR="00000000" w:rsidDel="00000000" w:rsidP="00000000" w:rsidRDefault="00000000" w:rsidRPr="00000000" w14:paraId="00000006">
      <w:pPr>
        <w:spacing w:after="240" w:before="240" w:lineRule="auto"/>
        <w:rPr/>
      </w:pPr>
      <w:r w:rsidDel="00000000" w:rsidR="00000000" w:rsidRPr="00000000">
        <w:rPr>
          <w:rtl w:val="0"/>
        </w:rPr>
        <w:t xml:space="preserve">D. A recent upper respiratory infection</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5mfluqpkux39" w:id="1"/>
      <w:bookmarkEnd w:id="1"/>
      <w:r w:rsidDel="00000000" w:rsidR="00000000" w:rsidRPr="00000000">
        <w:rPr>
          <w:b w:val="1"/>
          <w:bCs w:val="1"/>
          <w:color w:val="000000"/>
          <w:sz w:val="26"/>
          <w:szCs w:val="26"/>
          <w:rtl w:val="0"/>
        </w:rPr>
        <w:t xml:space="preserve">Question 2 </w:t>
      </w:r>
    </w:p>
    <w:p w:rsidR="00000000" w:rsidDel="00000000" w:rsidP="00000000" w:rsidRDefault="00000000" w:rsidRPr="00000000" w14:paraId="00000009">
      <w:pPr>
        <w:spacing w:after="240" w:before="240" w:lineRule="auto"/>
        <w:rPr/>
      </w:pPr>
      <w:r w:rsidDel="00000000" w:rsidR="00000000" w:rsidRPr="00000000">
        <w:rPr>
          <w:rtl w:val="0"/>
        </w:rPr>
        <w:t xml:space="preserve">A clinician suspects mold-related illness and wants to begin with an environmental assessment of the patient's home. Which statement best reflects the role of ERMI testing?</w:t>
      </w:r>
    </w:p>
    <w:p w:rsidR="00000000" w:rsidDel="00000000" w:rsidP="00000000" w:rsidRDefault="00000000" w:rsidRPr="00000000" w14:paraId="0000000A">
      <w:pPr>
        <w:spacing w:after="240" w:before="240" w:lineRule="auto"/>
        <w:rPr/>
      </w:pPr>
      <w:r w:rsidDel="00000000" w:rsidR="00000000" w:rsidRPr="00000000">
        <w:rPr>
          <w:rtl w:val="0"/>
        </w:rPr>
        <w:t xml:space="preserve">A. ERMI confirms the diagnosis of Chronic Inflammatory Response Syndrome (CIRS)</w:t>
      </w:r>
    </w:p>
    <w:p w:rsidR="00000000" w:rsidDel="00000000" w:rsidP="00000000" w:rsidRDefault="00000000" w:rsidRPr="00000000" w14:paraId="0000000B">
      <w:pPr>
        <w:spacing w:after="240" w:before="240" w:lineRule="auto"/>
        <w:rPr/>
      </w:pPr>
      <w:r w:rsidDel="00000000" w:rsidR="00000000" w:rsidRPr="00000000">
        <w:rPr>
          <w:rtl w:val="0"/>
        </w:rPr>
        <w:t xml:space="preserve">B. ERMI identifies the specific mycotoxins responsible for a patient's symptoms.</w:t>
      </w:r>
    </w:p>
    <w:p w:rsidR="00000000" w:rsidDel="00000000" w:rsidP="00000000" w:rsidRDefault="00000000" w:rsidRPr="00000000" w14:paraId="0000000C">
      <w:pPr>
        <w:spacing w:after="240" w:before="240" w:lineRule="auto"/>
        <w:rPr/>
      </w:pPr>
      <w:r w:rsidDel="00000000" w:rsidR="00000000" w:rsidRPr="00000000">
        <w:rPr>
          <w:b w:val="1"/>
          <w:bCs w:val="1"/>
          <w:shd w:fill="ff9900" w:val="clear"/>
          <w:rtl w:val="0"/>
        </w:rPr>
        <w:t xml:space="preserve">C. ERMI analyzes settled dust using mold-specific quantitative PCR and serves as a starting point for assessing mold burden within a building.</w:t>
      </w:r>
      <w:r w:rsidDel="00000000" w:rsidR="00000000" w:rsidRPr="00000000">
        <w:rPr>
          <w:rtl w:val="0"/>
        </w:rPr>
        <w:t xml:space="preserve"> </w:t>
      </w:r>
    </w:p>
    <w:p w:rsidR="00000000" w:rsidDel="00000000" w:rsidP="00000000" w:rsidRDefault="00000000" w:rsidRPr="00000000" w14:paraId="0000000D">
      <w:pPr>
        <w:spacing w:after="240" w:before="240" w:lineRule="auto"/>
        <w:rPr/>
      </w:pPr>
      <w:r w:rsidDel="00000000" w:rsidR="00000000" w:rsidRPr="00000000">
        <w:rPr>
          <w:rtl w:val="0"/>
        </w:rPr>
        <w:t xml:space="preserve">D. ERMI replaces the need for a professional mold inspection.</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f6ll6fkfeiak" w:id="2"/>
      <w:bookmarkEnd w:id="2"/>
      <w:r w:rsidDel="00000000" w:rsidR="00000000" w:rsidRPr="00000000">
        <w:rPr>
          <w:b w:val="1"/>
          <w:bCs w:val="1"/>
          <w:color w:val="000000"/>
          <w:sz w:val="26"/>
          <w:szCs w:val="26"/>
          <w:rtl w:val="0"/>
        </w:rPr>
        <w:t xml:space="preserve">Question 3 </w:t>
      </w:r>
    </w:p>
    <w:p w:rsidR="00000000" w:rsidDel="00000000" w:rsidP="00000000" w:rsidRDefault="00000000" w:rsidRPr="00000000" w14:paraId="00000010">
      <w:pPr>
        <w:spacing w:after="240" w:before="240" w:lineRule="auto"/>
        <w:rPr/>
      </w:pPr>
      <w:r w:rsidDel="00000000" w:rsidR="00000000" w:rsidRPr="00000000">
        <w:rPr>
          <w:rtl w:val="0"/>
        </w:rPr>
        <w:t xml:space="preserve">Which statement best describes the current role of urinary mycotoxin testing in the evaluation of suspected mold-related illness?</w:t>
      </w:r>
    </w:p>
    <w:p w:rsidR="00000000" w:rsidDel="00000000" w:rsidP="00000000" w:rsidRDefault="00000000" w:rsidRPr="00000000" w14:paraId="00000011">
      <w:pPr>
        <w:spacing w:after="240" w:before="240" w:lineRule="auto"/>
        <w:rPr/>
      </w:pPr>
      <w:r w:rsidDel="00000000" w:rsidR="00000000" w:rsidRPr="00000000">
        <w:rPr>
          <w:rtl w:val="0"/>
        </w:rPr>
        <w:t xml:space="preserve">A. It reliably determines whether mold exposure occurred at home versus food sources.</w:t>
      </w:r>
    </w:p>
    <w:p w:rsidR="00000000" w:rsidDel="00000000" w:rsidP="00000000" w:rsidRDefault="00000000" w:rsidRPr="00000000" w14:paraId="00000012">
      <w:pPr>
        <w:spacing w:after="240" w:before="240" w:lineRule="auto"/>
        <w:rPr/>
      </w:pPr>
      <w:r w:rsidDel="00000000" w:rsidR="00000000" w:rsidRPr="00000000">
        <w:rPr>
          <w:rtl w:val="0"/>
        </w:rPr>
        <w:t xml:space="preserve">B. It confirms activation of the innate immune response associated with CIRS.</w:t>
      </w:r>
    </w:p>
    <w:p w:rsidR="00000000" w:rsidDel="00000000" w:rsidP="00000000" w:rsidRDefault="00000000" w:rsidRPr="00000000" w14:paraId="00000013">
      <w:pPr>
        <w:spacing w:after="240" w:before="240" w:lineRule="auto"/>
        <w:rPr/>
      </w:pPr>
      <w:r w:rsidDel="00000000" w:rsidR="00000000" w:rsidRPr="00000000">
        <w:rPr>
          <w:rtl w:val="0"/>
        </w:rPr>
        <w:t xml:space="preserve">C. It distinguishes between recent and past mold exposure.</w:t>
      </w:r>
    </w:p>
    <w:p w:rsidR="00000000" w:rsidDel="00000000" w:rsidP="00000000" w:rsidRDefault="00000000" w:rsidRPr="00000000" w14:paraId="00000014">
      <w:pPr>
        <w:spacing w:after="240" w:before="240" w:lineRule="auto"/>
        <w:rPr>
          <w:shd w:fill="ff9900" w:val="clear"/>
        </w:rPr>
      </w:pPr>
      <w:r w:rsidDel="00000000" w:rsidR="00000000" w:rsidRPr="00000000">
        <w:rPr>
          <w:b w:val="1"/>
          <w:bCs w:val="1"/>
          <w:shd w:fill="ff9900" w:val="clear"/>
          <w:rtl w:val="0"/>
        </w:rPr>
        <w:t xml:space="preserve">D. It may provide adjunctive exposure information but should not be used as a stand-alone diagnostic test because interpretation has important limitations.</w:t>
      </w:r>
      <w:r w:rsidDel="00000000" w:rsidR="00000000" w:rsidRPr="00000000">
        <w:rPr>
          <w:shd w:fill="ff9900" w:val="clear"/>
          <w:rtl w:val="0"/>
        </w:rPr>
        <w:t xml:space="preserve"> </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7ppao4dzayju" w:id="3"/>
      <w:bookmarkEnd w:id="3"/>
      <w:r w:rsidDel="00000000" w:rsidR="00000000" w:rsidRPr="00000000">
        <w:rPr>
          <w:b w:val="1"/>
          <w:bCs w:val="1"/>
          <w:color w:val="000000"/>
          <w:sz w:val="26"/>
          <w:szCs w:val="26"/>
          <w:rtl w:val="0"/>
        </w:rPr>
        <w:t xml:space="preserve">Question 4 (Bloom's Level: Apply/Analyze)</w:t>
      </w:r>
    </w:p>
    <w:p w:rsidR="00000000" w:rsidDel="00000000" w:rsidP="00000000" w:rsidRDefault="00000000" w:rsidRPr="00000000" w14:paraId="00000017">
      <w:pPr>
        <w:spacing w:after="240" w:before="240" w:lineRule="auto"/>
        <w:rPr/>
      </w:pPr>
      <w:r w:rsidDel="00000000" w:rsidR="00000000" w:rsidRPr="00000000">
        <w:rPr>
          <w:rtl w:val="0"/>
        </w:rPr>
        <w:t xml:space="preserve">According to the treatment framework presented in this course, which intervention should be prioritized before initiating binders or other downstream therapies?</w:t>
      </w:r>
    </w:p>
    <w:p w:rsidR="00000000" w:rsidDel="00000000" w:rsidP="00000000" w:rsidRDefault="00000000" w:rsidRPr="00000000" w14:paraId="00000018">
      <w:pPr>
        <w:spacing w:after="240" w:before="240" w:lineRule="auto"/>
        <w:rPr/>
      </w:pPr>
      <w:r w:rsidDel="00000000" w:rsidR="00000000" w:rsidRPr="00000000">
        <w:rPr>
          <w:rtl w:val="0"/>
        </w:rPr>
        <w:t xml:space="preserve">A. Begin intranasal antimicrobial therapy.</w:t>
      </w:r>
    </w:p>
    <w:p w:rsidR="00000000" w:rsidDel="00000000" w:rsidP="00000000" w:rsidRDefault="00000000" w:rsidRPr="00000000" w14:paraId="00000019">
      <w:pPr>
        <w:spacing w:after="240" w:before="240" w:lineRule="auto"/>
        <w:rPr/>
      </w:pPr>
      <w:r w:rsidDel="00000000" w:rsidR="00000000" w:rsidRPr="00000000">
        <w:rPr>
          <w:rtl w:val="0"/>
        </w:rPr>
        <w:t xml:space="preserve">B. Start vasoactive intestinal peptide (VIP) therapy.</w:t>
      </w:r>
    </w:p>
    <w:p w:rsidR="00000000" w:rsidDel="00000000" w:rsidP="00000000" w:rsidRDefault="00000000" w:rsidRPr="00000000" w14:paraId="0000001A">
      <w:pPr>
        <w:spacing w:after="240" w:before="240" w:lineRule="auto"/>
        <w:rPr>
          <w:shd w:fill="ff9900" w:val="clear"/>
        </w:rPr>
      </w:pPr>
      <w:r w:rsidDel="00000000" w:rsidR="00000000" w:rsidRPr="00000000">
        <w:rPr>
          <w:b w:val="1"/>
          <w:bCs w:val="1"/>
          <w:shd w:fill="ff9900" w:val="clear"/>
          <w:rtl w:val="0"/>
        </w:rPr>
        <w:t xml:space="preserve">C. Identify and remove the patient from the ongoing mold exposure and address the environmental source.</w:t>
      </w:r>
      <w:r w:rsidDel="00000000" w:rsidR="00000000" w:rsidRPr="00000000">
        <w:rPr>
          <w:shd w:fill="ff9900" w:val="clear"/>
          <w:rtl w:val="0"/>
        </w:rPr>
        <w:t xml:space="preserve"> </w:t>
      </w:r>
    </w:p>
    <w:p w:rsidR="00000000" w:rsidDel="00000000" w:rsidP="00000000" w:rsidRDefault="00000000" w:rsidRPr="00000000" w14:paraId="0000001B">
      <w:pPr>
        <w:spacing w:after="240" w:before="240" w:lineRule="auto"/>
        <w:rPr/>
      </w:pPr>
      <w:r w:rsidDel="00000000" w:rsidR="00000000" w:rsidRPr="00000000">
        <w:rPr>
          <w:rtl w:val="0"/>
        </w:rPr>
        <w:t xml:space="preserve">D. Initiate nutritional supplementation with fish oil and vitamin D.</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